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71797B">
      <w:r>
        <w:t xml:space="preserve">ПАСПОРТ УСЛУГИ </w:t>
      </w:r>
      <w:r w:rsidR="00CA3464">
        <w:t xml:space="preserve"> </w:t>
      </w:r>
      <w:r w:rsidR="002C086C">
        <w:t xml:space="preserve">(ПРОЦЕССА) </w:t>
      </w:r>
      <w:r w:rsidR="00CA3464">
        <w:t>АО «</w:t>
      </w:r>
      <w:proofErr w:type="spellStart"/>
      <w:r w:rsidR="002F752B">
        <w:t>ЭлС</w:t>
      </w:r>
      <w:proofErr w:type="spellEnd"/>
      <w:r w:rsidR="00CA3464">
        <w:t>»</w:t>
      </w:r>
    </w:p>
    <w:p w:rsidR="00D55D25" w:rsidRDefault="00D55D25">
      <w:r>
        <w:t>ПРИЕМ ПОКАЗАНИЙ ПРИБОРОВ УЧЕТА ОТ ПОТРЕБИТЕЛЯ</w:t>
      </w:r>
    </w:p>
    <w:p w:rsidR="002F752B" w:rsidRDefault="00CA3464"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</w:p>
    <w:p w:rsidR="002F752B" w:rsidRDefault="00CA3464">
      <w:r>
        <w:t xml:space="preserve">РАЗМЕР ПЛАТЫ ЗА </w:t>
      </w:r>
      <w:r w:rsidR="0071797B">
        <w:t xml:space="preserve">ПРЕДОСТАВЛЕНИЕ УСЛУГИ </w:t>
      </w:r>
      <w:r w:rsidR="002C086C">
        <w:t xml:space="preserve">(ПРОЦЕССА) </w:t>
      </w:r>
      <w:r>
        <w:t xml:space="preserve"> И ОСНОВАНИЕ ЕЕ ВЗИМАНИЯ: плата не предусмотрена и не взимается. </w:t>
      </w:r>
    </w:p>
    <w:p w:rsidR="00D55D25" w:rsidRDefault="00CA3464">
      <w:r>
        <w:t>УС</w:t>
      </w:r>
      <w:r w:rsidR="0071797B">
        <w:t>ЛОВИЯ ОКАЗАНИЯ УСЛУГИ</w:t>
      </w:r>
      <w:r w:rsidR="002C086C">
        <w:t xml:space="preserve"> (ПРОЦЕССА)</w:t>
      </w:r>
      <w:r>
        <w:t xml:space="preserve">: </w:t>
      </w:r>
      <w:r w:rsidR="00D55D25">
        <w:t>технологическое присоединение к электрическим сетям АО "</w:t>
      </w:r>
      <w:proofErr w:type="spellStart"/>
      <w:r w:rsidR="004F79A2">
        <w:t>ЭлС</w:t>
      </w:r>
      <w:proofErr w:type="spellEnd"/>
      <w:r w:rsidR="00D55D25">
        <w:t xml:space="preserve">" (в том числе опосредованно) в установленном порядке </w:t>
      </w:r>
      <w:proofErr w:type="spellStart"/>
      <w:r w:rsidR="00D55D25">
        <w:t>энергопринимающих</w:t>
      </w:r>
      <w:proofErr w:type="spellEnd"/>
      <w:r w:rsidR="00D55D25">
        <w:t xml:space="preserve"> устройств заявителя, в отношении которых установлен и введен в эксплуатацию прибор учета, договор на оказание услуг по передаче </w:t>
      </w:r>
      <w:proofErr w:type="spellStart"/>
      <w:r w:rsidR="00D55D25">
        <w:t>эл</w:t>
      </w:r>
      <w:proofErr w:type="spellEnd"/>
      <w:r w:rsidR="00D55D25">
        <w:t>. энергии между АО "</w:t>
      </w:r>
      <w:proofErr w:type="spellStart"/>
      <w:r w:rsidR="004F79A2">
        <w:t>ЭлС</w:t>
      </w:r>
      <w:proofErr w:type="spellEnd"/>
      <w:r w:rsidR="00D55D25">
        <w:t xml:space="preserve">" и </w:t>
      </w:r>
      <w:r w:rsidR="004F79A2">
        <w:t>ПАО «МРСК Центра» - «</w:t>
      </w:r>
      <w:proofErr w:type="spellStart"/>
      <w:r w:rsidR="004F79A2">
        <w:t>Смоленскэнерго</w:t>
      </w:r>
      <w:proofErr w:type="spellEnd"/>
      <w:r w:rsidR="00D55D25">
        <w:t>», договор энергоснабжения потребителя с гарантирующим поставщиком (</w:t>
      </w:r>
      <w:proofErr w:type="spellStart"/>
      <w:r w:rsidR="00D55D25">
        <w:t>энергосбытовой</w:t>
      </w:r>
      <w:proofErr w:type="spellEnd"/>
      <w:r w:rsidR="00D55D25">
        <w:t xml:space="preserve"> организацией).</w:t>
      </w:r>
    </w:p>
    <w:p w:rsidR="00446A54" w:rsidRDefault="00CA3464">
      <w:r>
        <w:t>РЕЗУ</w:t>
      </w:r>
      <w:r w:rsidR="00362E51">
        <w:t>ЛЬТАТ ОКАЗАНИЯ УСЛУГИ</w:t>
      </w:r>
      <w:r w:rsidR="002C086C">
        <w:t xml:space="preserve"> (ПРОЦЕССА)</w:t>
      </w:r>
      <w:r>
        <w:t>:</w:t>
      </w:r>
      <w:r w:rsidR="00D55D25" w:rsidRPr="00D55D25">
        <w:t xml:space="preserve"> </w:t>
      </w:r>
      <w:r w:rsidR="00D55D25">
        <w:t>прием показаний приборов учета.</w:t>
      </w:r>
    </w:p>
    <w:p w:rsidR="00CA3464" w:rsidRDefault="00CA3464">
      <w:r>
        <w:t xml:space="preserve">СОСТАВ, ПОСЛЕДОВАТЕЛЬНОСТЬ И </w:t>
      </w:r>
      <w:r w:rsidR="00362E51">
        <w:t>СРОКИ ОКАЗАНИЯ УСЛУГИ</w:t>
      </w:r>
      <w:r w:rsidR="002C086C">
        <w:t xml:space="preserve"> (ПРОЦЕССА)</w:t>
      </w:r>
      <w: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F738FA">
        <w:trPr>
          <w:trHeight w:val="586"/>
        </w:trPr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5933C5">
            <w:r>
              <w:t>Прием от потребителя показаний расчетных приборов учета</w:t>
            </w:r>
            <w:r w:rsidR="003D7E5C">
              <w:t>.</w:t>
            </w:r>
          </w:p>
        </w:tc>
        <w:tc>
          <w:tcPr>
            <w:tcW w:w="2977" w:type="dxa"/>
          </w:tcPr>
          <w:p w:rsidR="00CA3464" w:rsidRDefault="005933C5" w:rsidP="005933C5">
            <w:r>
              <w:t>Заключенный договор энергоснабжения с ГП (</w:t>
            </w:r>
            <w:proofErr w:type="spellStart"/>
            <w:r>
              <w:t>энергосбытовой</w:t>
            </w:r>
            <w:proofErr w:type="spellEnd"/>
            <w:r>
              <w:t xml:space="preserve"> организацией), договор на оказание услуг по передаче </w:t>
            </w:r>
            <w:proofErr w:type="spellStart"/>
            <w:r>
              <w:t>эл</w:t>
            </w:r>
            <w:proofErr w:type="spellEnd"/>
            <w:r>
              <w:t>. энергии между АО "</w:t>
            </w:r>
            <w:proofErr w:type="spellStart"/>
            <w:r>
              <w:t>Элс</w:t>
            </w:r>
            <w:proofErr w:type="spellEnd"/>
            <w:r>
              <w:t>" и ПАО «МРСК Центра» - «</w:t>
            </w:r>
            <w:proofErr w:type="spellStart"/>
            <w:r>
              <w:t>Смоленскэнерго</w:t>
            </w:r>
            <w:proofErr w:type="spellEnd"/>
            <w:r>
              <w:t>»</w:t>
            </w:r>
            <w:r w:rsidR="003D7E5C">
              <w:t>.</w:t>
            </w:r>
          </w:p>
        </w:tc>
        <w:tc>
          <w:tcPr>
            <w:tcW w:w="2976" w:type="dxa"/>
          </w:tcPr>
          <w:p w:rsidR="00CA3464" w:rsidRDefault="005933C5">
            <w:r>
              <w:t>Потребитель, имеющий договор энергоснабжения электрической энергии (мощности) передает информацию о показаниях расчетных приборов учета ГП (</w:t>
            </w:r>
            <w:proofErr w:type="spellStart"/>
            <w:r>
              <w:t>энергосбытовой</w:t>
            </w:r>
            <w:proofErr w:type="spellEnd"/>
            <w:r>
              <w:t>, организации) и АО "</w:t>
            </w:r>
            <w:proofErr w:type="spellStart"/>
            <w:r>
              <w:t>ЭлС</w:t>
            </w:r>
            <w:proofErr w:type="spellEnd"/>
            <w:r>
              <w:t>».</w:t>
            </w:r>
          </w:p>
        </w:tc>
        <w:tc>
          <w:tcPr>
            <w:tcW w:w="2593" w:type="dxa"/>
          </w:tcPr>
          <w:p w:rsidR="00CA3464" w:rsidRDefault="00A06CBA" w:rsidP="002F752B">
            <w:r>
              <w:t>Письменное уведомление заказным письмом, с использованием телефонной связи, электронной почты или иным способом, позволяющим подтвердить факт получения.</w:t>
            </w:r>
          </w:p>
        </w:tc>
        <w:tc>
          <w:tcPr>
            <w:tcW w:w="2085" w:type="dxa"/>
          </w:tcPr>
          <w:p w:rsidR="00CA3464" w:rsidRDefault="00A06CBA" w:rsidP="00A06CBA">
            <w:r>
              <w:t>В соответствии с Регламентом взаимодействия между АО «</w:t>
            </w:r>
            <w:proofErr w:type="spellStart"/>
            <w:r>
              <w:t>ЭлС</w:t>
            </w:r>
            <w:proofErr w:type="spellEnd"/>
            <w:r>
              <w:t>» и ГП, договором энергоснабжения потребителя с ГП (</w:t>
            </w:r>
            <w:proofErr w:type="spellStart"/>
            <w:r>
              <w:t>энергосбытовой</w:t>
            </w:r>
            <w:proofErr w:type="spellEnd"/>
            <w:r>
              <w:t xml:space="preserve"> организации) и действующим законодательством</w:t>
            </w:r>
          </w:p>
        </w:tc>
        <w:tc>
          <w:tcPr>
            <w:tcW w:w="1984" w:type="dxa"/>
          </w:tcPr>
          <w:p w:rsidR="00CA3464" w:rsidRDefault="00A06CBA">
            <w:r>
              <w:t>Пункты 161, 163 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723452">
        <w:trPr>
          <w:trHeight w:val="534"/>
        </w:trPr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446A54" w:rsidRDefault="003D7E5C">
            <w:r>
              <w:t>Передача показаний расчетных приборов учета ГП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организации).</w:t>
            </w:r>
          </w:p>
        </w:tc>
        <w:tc>
          <w:tcPr>
            <w:tcW w:w="2977" w:type="dxa"/>
          </w:tcPr>
          <w:p w:rsidR="00E605A3" w:rsidRDefault="003D7E5C">
            <w:r>
              <w:t>Если условиями договора энергоснабжения определено, что потребитель передает информацию о показаниях расчетных приборов учета только сетевой организации.</w:t>
            </w:r>
          </w:p>
        </w:tc>
        <w:tc>
          <w:tcPr>
            <w:tcW w:w="2976" w:type="dxa"/>
          </w:tcPr>
          <w:p w:rsidR="00446A54" w:rsidRDefault="003D7E5C" w:rsidP="00026010">
            <w:r>
              <w:t>Передача показаний расчетных приборов учета гарантирующему поставщику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организации).</w:t>
            </w:r>
          </w:p>
        </w:tc>
        <w:tc>
          <w:tcPr>
            <w:tcW w:w="2593" w:type="dxa"/>
          </w:tcPr>
          <w:p w:rsidR="00022855" w:rsidRDefault="003D7E5C" w:rsidP="00327DE8">
            <w:r>
              <w:t xml:space="preserve">Письменное уведомление заказным письмом с уведомлением, факсом или иным другим способом, позволяющим определить дату и время </w:t>
            </w:r>
            <w:r>
              <w:lastRenderedPageBreak/>
              <w:t>передачи уведомления</w:t>
            </w:r>
          </w:p>
        </w:tc>
        <w:tc>
          <w:tcPr>
            <w:tcW w:w="2085" w:type="dxa"/>
          </w:tcPr>
          <w:p w:rsidR="00B000B2" w:rsidRDefault="00D7578D">
            <w:r>
              <w:lastRenderedPageBreak/>
              <w:t>До окончания 2-ого числа месяца,  следующего за расчётным периодом.</w:t>
            </w:r>
          </w:p>
        </w:tc>
        <w:tc>
          <w:tcPr>
            <w:tcW w:w="1984" w:type="dxa"/>
          </w:tcPr>
          <w:p w:rsidR="009B1471" w:rsidRDefault="003D7E5C">
            <w:r>
              <w:t xml:space="preserve">Пункт 163 Основы функционирования розничных рынков электрической энергии, утвержденные </w:t>
            </w:r>
            <w:r>
              <w:lastRenderedPageBreak/>
              <w:t>постановлением Правительства РФ от 04.05.2012 № 442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4B387A" w:rsidRDefault="004B387A" w:rsidP="004B387A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603F29" w:rsidRDefault="00603F29" w:rsidP="00603F29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4B2A46">
        <w:rPr>
          <w:rFonts w:cstheme="minorHAnsi"/>
          <w:color w:val="000000" w:themeColor="text1"/>
          <w:shd w:val="clear" w:color="auto" w:fill="FFFFFF"/>
        </w:rPr>
        <w:t xml:space="preserve">ической энергии (48153) 7-79-09 и </w:t>
      </w:r>
      <w:r w:rsidR="0051011C">
        <w:rPr>
          <w:rFonts w:cstheme="minorHAnsi"/>
          <w:color w:val="000000" w:themeColor="text1"/>
          <w:shd w:val="clear" w:color="auto" w:fill="FFFFFF"/>
        </w:rPr>
        <w:t>(48153)3-22-28.</w:t>
      </w:r>
    </w:p>
    <w:p w:rsidR="00603F29" w:rsidRDefault="00603F29" w:rsidP="00603F29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/>
    <w:sectPr w:rsidR="00062B4E" w:rsidSect="00F44C3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26010"/>
    <w:rsid w:val="000507F9"/>
    <w:rsid w:val="00062B4E"/>
    <w:rsid w:val="00157E5D"/>
    <w:rsid w:val="00185CFC"/>
    <w:rsid w:val="001C0EF4"/>
    <w:rsid w:val="001C2F59"/>
    <w:rsid w:val="002026DF"/>
    <w:rsid w:val="00260CD6"/>
    <w:rsid w:val="00283A8B"/>
    <w:rsid w:val="002947BC"/>
    <w:rsid w:val="002C086C"/>
    <w:rsid w:val="002F752B"/>
    <w:rsid w:val="00327DE8"/>
    <w:rsid w:val="00362E51"/>
    <w:rsid w:val="003D7E5C"/>
    <w:rsid w:val="00410DB0"/>
    <w:rsid w:val="00415DA6"/>
    <w:rsid w:val="004460FC"/>
    <w:rsid w:val="00446A54"/>
    <w:rsid w:val="004B2A46"/>
    <w:rsid w:val="004B387A"/>
    <w:rsid w:val="004D0666"/>
    <w:rsid w:val="004E49B8"/>
    <w:rsid w:val="004F79A2"/>
    <w:rsid w:val="005035AE"/>
    <w:rsid w:val="0051011C"/>
    <w:rsid w:val="00520200"/>
    <w:rsid w:val="005574F3"/>
    <w:rsid w:val="00575A5A"/>
    <w:rsid w:val="005933C5"/>
    <w:rsid w:val="00594FBA"/>
    <w:rsid w:val="005C67E8"/>
    <w:rsid w:val="005E044A"/>
    <w:rsid w:val="005E52C4"/>
    <w:rsid w:val="00603F29"/>
    <w:rsid w:val="00606161"/>
    <w:rsid w:val="0068777E"/>
    <w:rsid w:val="00692328"/>
    <w:rsid w:val="00695040"/>
    <w:rsid w:val="006D4AFA"/>
    <w:rsid w:val="006E2D06"/>
    <w:rsid w:val="0070747B"/>
    <w:rsid w:val="0071797B"/>
    <w:rsid w:val="00723452"/>
    <w:rsid w:val="00723A59"/>
    <w:rsid w:val="007337FC"/>
    <w:rsid w:val="007502DA"/>
    <w:rsid w:val="007D2CBC"/>
    <w:rsid w:val="008003EC"/>
    <w:rsid w:val="0080157E"/>
    <w:rsid w:val="00813F8C"/>
    <w:rsid w:val="00826796"/>
    <w:rsid w:val="00841B45"/>
    <w:rsid w:val="008573E0"/>
    <w:rsid w:val="00871651"/>
    <w:rsid w:val="008F3A75"/>
    <w:rsid w:val="009B1471"/>
    <w:rsid w:val="00A06CBA"/>
    <w:rsid w:val="00A14B90"/>
    <w:rsid w:val="00A22E05"/>
    <w:rsid w:val="00A22E68"/>
    <w:rsid w:val="00A72DA0"/>
    <w:rsid w:val="00A94818"/>
    <w:rsid w:val="00AC03BD"/>
    <w:rsid w:val="00AD4FB8"/>
    <w:rsid w:val="00B000B2"/>
    <w:rsid w:val="00C51CD4"/>
    <w:rsid w:val="00C56686"/>
    <w:rsid w:val="00C80761"/>
    <w:rsid w:val="00CA3464"/>
    <w:rsid w:val="00CD02F3"/>
    <w:rsid w:val="00D00D60"/>
    <w:rsid w:val="00D162C9"/>
    <w:rsid w:val="00D55D25"/>
    <w:rsid w:val="00D7578D"/>
    <w:rsid w:val="00D910AF"/>
    <w:rsid w:val="00DD1E2A"/>
    <w:rsid w:val="00E13147"/>
    <w:rsid w:val="00E213E0"/>
    <w:rsid w:val="00E605A3"/>
    <w:rsid w:val="00EC70FE"/>
    <w:rsid w:val="00F038D0"/>
    <w:rsid w:val="00F40823"/>
    <w:rsid w:val="00F44C3D"/>
    <w:rsid w:val="00F6473A"/>
    <w:rsid w:val="00F738FA"/>
    <w:rsid w:val="00F77DCF"/>
    <w:rsid w:val="00FB1002"/>
    <w:rsid w:val="00FB2F1D"/>
    <w:rsid w:val="00FC3FB3"/>
    <w:rsid w:val="00FD1DA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23</cp:revision>
  <dcterms:created xsi:type="dcterms:W3CDTF">2018-11-23T12:20:00Z</dcterms:created>
  <dcterms:modified xsi:type="dcterms:W3CDTF">2018-12-07T12:41:00Z</dcterms:modified>
</cp:coreProperties>
</file>